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4E" w:rsidRPr="005F37FE" w:rsidRDefault="005F37FE" w:rsidP="005F37FE">
      <w:pPr>
        <w:pStyle w:val="Heading3"/>
        <w:ind w:left="720"/>
        <w:jc w:val="right"/>
        <w:rPr>
          <w:rFonts w:ascii="Arial" w:hAnsi="Arial" w:cs="Arial"/>
          <w:b/>
          <w:color w:val="auto"/>
          <w:sz w:val="28"/>
          <w:szCs w:val="28"/>
        </w:rPr>
      </w:pPr>
      <w:bookmarkStart w:id="0" w:name="_Toc391557223"/>
      <w:r w:rsidRPr="005F37FE">
        <w:rPr>
          <w:rFonts w:ascii="Arial" w:hAnsi="Arial" w:cs="Arial"/>
          <w:b/>
          <w:color w:val="auto"/>
          <w:sz w:val="28"/>
          <w:szCs w:val="28"/>
        </w:rPr>
        <w:t>Appendix 'A'</w:t>
      </w:r>
    </w:p>
    <w:p w:rsidR="009C174E" w:rsidRDefault="009C174E" w:rsidP="009C174E"/>
    <w:p w:rsidR="009C174E" w:rsidRPr="00760571" w:rsidRDefault="009C174E" w:rsidP="009C174E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BTLS - LCC ICT Services</w:t>
      </w:r>
      <w:bookmarkStart w:id="1" w:name="_Toc403564194"/>
    </w:p>
    <w:p w:rsidR="009C174E" w:rsidRPr="00760571" w:rsidRDefault="009C174E" w:rsidP="009C174E">
      <w:pPr>
        <w:pStyle w:val="Heading3"/>
        <w:rPr>
          <w:rFonts w:ascii="Arial" w:hAnsi="Arial" w:cs="Arial"/>
          <w:b/>
          <w:color w:val="auto"/>
        </w:rPr>
      </w:pPr>
    </w:p>
    <w:p w:rsidR="009C174E" w:rsidRPr="00760571" w:rsidRDefault="009C174E" w:rsidP="009C174E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Performance</w:t>
      </w:r>
      <w:bookmarkEnd w:id="1"/>
    </w:p>
    <w:p w:rsidR="009C174E" w:rsidRPr="00BD7546" w:rsidRDefault="009C174E" w:rsidP="009C174E">
      <w:pPr>
        <w:rPr>
          <w:lang w:eastAsia="en-US"/>
        </w:rPr>
      </w:pPr>
    </w:p>
    <w:p w:rsidR="009C174E" w:rsidRDefault="009C174E" w:rsidP="009C174E">
      <w:pPr>
        <w:jc w:val="both"/>
        <w:rPr>
          <w:rFonts w:cs="Arial"/>
        </w:rPr>
      </w:pPr>
      <w:r w:rsidRPr="00D353C8">
        <w:rPr>
          <w:rFonts w:cs="Arial"/>
        </w:rPr>
        <w:t xml:space="preserve">The Service Level Agreement (SLA) comprises of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performance indicators covering the </w:t>
      </w:r>
      <w:r w:rsidRPr="00D353C8">
        <w:rPr>
          <w:rFonts w:cs="Arial"/>
          <w:b/>
        </w:rPr>
        <w:t>ICT Service</w:t>
      </w:r>
      <w:r w:rsidRPr="00D353C8">
        <w:rPr>
          <w:rFonts w:cs="Arial"/>
        </w:rPr>
        <w:t xml:space="preserve">. Of these, all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are contractual indicators.</w:t>
      </w:r>
    </w:p>
    <w:p w:rsidR="009C174E" w:rsidRDefault="009C174E" w:rsidP="009C174E">
      <w:pPr>
        <w:jc w:val="both"/>
        <w:rPr>
          <w:b/>
          <w:sz w:val="28"/>
          <w:szCs w:val="28"/>
        </w:rPr>
      </w:pPr>
    </w:p>
    <w:p w:rsidR="009C174E" w:rsidRPr="00CF3A2A" w:rsidRDefault="009C174E" w:rsidP="009C174E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Contractual Targets:</w:t>
      </w:r>
      <w:r>
        <w:rPr>
          <w:rFonts w:cs="Calibri"/>
          <w:b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Y="564"/>
        <w:tblOverlap w:val="never"/>
        <w:tblW w:w="5000" w:type="pct"/>
        <w:tblLook w:val="0000" w:firstRow="0" w:lastRow="0" w:firstColumn="0" w:lastColumn="0" w:noHBand="0" w:noVBand="0"/>
      </w:tblPr>
      <w:tblGrid>
        <w:gridCol w:w="673"/>
        <w:gridCol w:w="3898"/>
        <w:gridCol w:w="1061"/>
        <w:gridCol w:w="2156"/>
        <w:gridCol w:w="2156"/>
        <w:gridCol w:w="2156"/>
        <w:gridCol w:w="2156"/>
      </w:tblGrid>
      <w:tr w:rsidR="009C174E" w:rsidRPr="00697331" w:rsidTr="00B4675F">
        <w:trPr>
          <w:cantSplit/>
          <w:trHeight w:val="140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Detailed Definition of SLA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Target</w:t>
            </w:r>
          </w:p>
          <w:p w:rsidR="009C174E" w:rsidRPr="00760571" w:rsidRDefault="009C174E" w:rsidP="00B467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 xml:space="preserve">Quarter 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Three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January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February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</w:tcPr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9C174E" w:rsidRPr="00697331" w:rsidTr="00B4675F">
        <w:trPr>
          <w:cantSplit/>
          <w:trHeight w:val="16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1:</w:t>
            </w:r>
          </w:p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Severe Business Disruption: </w:t>
            </w:r>
          </w:p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Business Unit (sub-unit): </w:t>
            </w:r>
          </w:p>
          <w:p w:rsidR="009C174E" w:rsidRPr="00760571" w:rsidRDefault="009C174E" w:rsidP="009C17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:rsidR="009C174E" w:rsidRDefault="009C174E" w:rsidP="009C17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Service component failed or severely impaired.</w:t>
            </w:r>
          </w:p>
          <w:p w:rsidR="009C174E" w:rsidRDefault="009C174E" w:rsidP="00B4675F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1 Incidents resolved within 4 working hours.</w:t>
            </w: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9C174E" w:rsidRPr="00697331" w:rsidTr="00B4675F">
        <w:trPr>
          <w:cantSplit/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2:</w:t>
            </w:r>
          </w:p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Major Business Disruption: </w:t>
            </w:r>
          </w:p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Critical user or user group: </w:t>
            </w:r>
          </w:p>
          <w:p w:rsidR="009C174E" w:rsidRPr="00760571" w:rsidRDefault="009C174E" w:rsidP="009C17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:rsidR="009C174E" w:rsidRDefault="009C174E" w:rsidP="009C17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760571">
              <w:rPr>
                <w:rFonts w:cs="Arial"/>
                <w:color w:val="000000"/>
                <w:sz w:val="22"/>
                <w:szCs w:val="22"/>
              </w:rPr>
              <w:t>business</w:t>
            </w:r>
            <w:proofErr w:type="gramEnd"/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 unit experiencing significant reduction in service performance.</w:t>
            </w:r>
          </w:p>
          <w:p w:rsidR="009C174E" w:rsidRDefault="009C174E" w:rsidP="00B4675F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2 Incidents resolved within 1 Business Day</w:t>
            </w: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9C174E" w:rsidRPr="00697331" w:rsidTr="00B4675F">
        <w:trPr>
          <w:cantSplit/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845C3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7845C3">
              <w:rPr>
                <w:rFonts w:cs="Arial"/>
                <w:b/>
                <w:color w:val="000000"/>
                <w:sz w:val="20"/>
              </w:rPr>
              <w:t>Priority 3:</w:t>
            </w: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t xml:space="preserve">Minor Business Disruption: </w:t>
            </w: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t>Single user or user group unable to work with no available workaround.</w:t>
            </w: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3 Incidents resolved within 2 Business Days.</w:t>
            </w: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</w:tr>
      <w:tr w:rsidR="009C174E" w:rsidRPr="00697331" w:rsidTr="00B4675F">
        <w:trPr>
          <w:cantSplit/>
          <w:trHeight w:val="45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4:</w:t>
            </w:r>
          </w:p>
          <w:p w:rsidR="009C174E" w:rsidRPr="00760571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Minor Disruption: </w:t>
            </w: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Single user or user group experiencing problems but with ICT defined available workaround.</w:t>
            </w: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4 Incidents resolved within 1 working week.</w:t>
            </w: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9C174E" w:rsidRPr="00697331" w:rsidTr="00B4675F">
        <w:trPr>
          <w:cantSplit/>
          <w:trHeight w:val="89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/>
                <w:sz w:val="22"/>
                <w:szCs w:val="22"/>
                <w:lang w:eastAsia="en-US"/>
              </w:rPr>
              <w:t xml:space="preserve">Priority 5: </w:t>
            </w: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Advice and Guidance (offered to users via Service Desk).</w:t>
            </w: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9C174E" w:rsidRDefault="009C174E" w:rsidP="00B4675F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5 Incidents resolved within 4 working weeks.</w:t>
            </w:r>
          </w:p>
          <w:p w:rsidR="009C174E" w:rsidRPr="007845C3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</w:tbl>
    <w:p w:rsidR="009C174E" w:rsidRDefault="009C174E" w:rsidP="009C174E">
      <w:pPr>
        <w:spacing w:line="276" w:lineRule="auto"/>
        <w:rPr>
          <w:rFonts w:cs="Calibri"/>
          <w:b/>
          <w:sz w:val="22"/>
          <w:szCs w:val="22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134CC" w:rsidRDefault="009134CC" w:rsidP="009C174E">
      <w:pPr>
        <w:rPr>
          <w:rFonts w:cs="Arial"/>
          <w:b/>
          <w:szCs w:val="24"/>
        </w:rPr>
      </w:pPr>
    </w:p>
    <w:p w:rsidR="009134CC" w:rsidRDefault="009134CC" w:rsidP="009C174E">
      <w:pPr>
        <w:rPr>
          <w:rFonts w:cs="Arial"/>
          <w:b/>
          <w:szCs w:val="24"/>
        </w:rPr>
      </w:pPr>
    </w:p>
    <w:p w:rsidR="009134CC" w:rsidRDefault="009134CC" w:rsidP="009C174E">
      <w:pPr>
        <w:rPr>
          <w:rFonts w:cs="Arial"/>
          <w:b/>
          <w:szCs w:val="24"/>
        </w:rPr>
      </w:pPr>
    </w:p>
    <w:p w:rsidR="009134CC" w:rsidRDefault="009134CC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Default="009C174E" w:rsidP="009C174E">
      <w:pPr>
        <w:rPr>
          <w:rFonts w:cs="Arial"/>
          <w:b/>
          <w:szCs w:val="24"/>
        </w:rPr>
      </w:pPr>
    </w:p>
    <w:p w:rsidR="009C174E" w:rsidRPr="00CF3A2A" w:rsidRDefault="009C174E" w:rsidP="009C174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BTLS </w:t>
      </w:r>
      <w:r w:rsidRPr="00CF3A2A">
        <w:rPr>
          <w:rFonts w:cs="Arial"/>
          <w:b/>
          <w:szCs w:val="24"/>
        </w:rPr>
        <w:t>- LCC Payroll &amp; Recruitment Services</w:t>
      </w:r>
    </w:p>
    <w:p w:rsidR="009C174E" w:rsidRPr="00CF3A2A" w:rsidRDefault="009C174E" w:rsidP="009C174E">
      <w:pPr>
        <w:rPr>
          <w:szCs w:val="24"/>
        </w:rPr>
      </w:pPr>
    </w:p>
    <w:p w:rsidR="009C174E" w:rsidRPr="00CF3A2A" w:rsidRDefault="009C174E" w:rsidP="009C174E">
      <w:pPr>
        <w:rPr>
          <w:b/>
          <w:szCs w:val="24"/>
        </w:rPr>
      </w:pPr>
      <w:r w:rsidRPr="00CF3A2A">
        <w:rPr>
          <w:b/>
          <w:szCs w:val="24"/>
        </w:rPr>
        <w:t>Performance</w:t>
      </w:r>
    </w:p>
    <w:p w:rsidR="009C174E" w:rsidRPr="00CF3A2A" w:rsidRDefault="009C174E" w:rsidP="009C174E">
      <w:pPr>
        <w:spacing w:line="276" w:lineRule="auto"/>
        <w:jc w:val="both"/>
        <w:rPr>
          <w:rFonts w:cs="Arial"/>
          <w:szCs w:val="24"/>
        </w:rPr>
      </w:pPr>
    </w:p>
    <w:p w:rsidR="009C174E" w:rsidRDefault="009C174E" w:rsidP="009C174E">
      <w:pPr>
        <w:rPr>
          <w:rFonts w:cs="Arial"/>
          <w:szCs w:val="24"/>
        </w:rPr>
      </w:pPr>
      <w:r w:rsidRPr="00CF3A2A">
        <w:rPr>
          <w:rFonts w:cs="Arial"/>
          <w:szCs w:val="24"/>
        </w:rPr>
        <w:t xml:space="preserve">The Service Level Agreement (SLA) comprises of </w:t>
      </w:r>
      <w:r w:rsidRPr="00CF3A2A">
        <w:rPr>
          <w:rFonts w:cs="Arial"/>
          <w:b/>
          <w:szCs w:val="24"/>
        </w:rPr>
        <w:t>three</w:t>
      </w:r>
      <w:r w:rsidRPr="00CF3A2A">
        <w:rPr>
          <w:rFonts w:cs="Arial"/>
          <w:szCs w:val="24"/>
        </w:rPr>
        <w:t xml:space="preserve"> performance indicators covering payroll and recruitment elements. Of these, </w:t>
      </w:r>
      <w:r w:rsidRPr="00CF3A2A">
        <w:rPr>
          <w:rFonts w:cs="Arial"/>
          <w:b/>
          <w:szCs w:val="24"/>
        </w:rPr>
        <w:t>two</w:t>
      </w:r>
      <w:r w:rsidRPr="00CF3A2A">
        <w:rPr>
          <w:rFonts w:cs="Arial"/>
          <w:szCs w:val="24"/>
        </w:rPr>
        <w:t xml:space="preserve"> are contractual indicators and</w:t>
      </w:r>
      <w:r w:rsidRPr="00CF3A2A">
        <w:rPr>
          <w:rFonts w:cs="Arial"/>
          <w:b/>
          <w:szCs w:val="24"/>
        </w:rPr>
        <w:t xml:space="preserve"> one</w:t>
      </w:r>
      <w:r w:rsidRPr="00CF3A2A">
        <w:rPr>
          <w:rFonts w:cs="Arial"/>
          <w:szCs w:val="24"/>
        </w:rPr>
        <w:t xml:space="preserve"> is a non-contractual indicator.</w:t>
      </w:r>
    </w:p>
    <w:p w:rsidR="009C174E" w:rsidRDefault="009C174E" w:rsidP="009C174E">
      <w:pPr>
        <w:rPr>
          <w:rFonts w:cs="Arial"/>
          <w:szCs w:val="24"/>
        </w:rPr>
      </w:pPr>
    </w:p>
    <w:p w:rsidR="009C174E" w:rsidRPr="00CF3A2A" w:rsidRDefault="009C174E" w:rsidP="009C174E">
      <w:pPr>
        <w:rPr>
          <w:rFonts w:cs="Calibri"/>
          <w:szCs w:val="24"/>
          <w:lang w:eastAsia="en-US"/>
        </w:rPr>
      </w:pPr>
    </w:p>
    <w:p w:rsidR="009C174E" w:rsidRPr="00CF3A2A" w:rsidRDefault="009C174E" w:rsidP="009C174E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Contractual Targets:</w:t>
      </w:r>
    </w:p>
    <w:p w:rsidR="009C174E" w:rsidRPr="00D56BEF" w:rsidRDefault="009C174E" w:rsidP="009C174E">
      <w:pPr>
        <w:spacing w:line="276" w:lineRule="auto"/>
        <w:rPr>
          <w:rFonts w:cs="Calibri"/>
          <w:b/>
          <w:sz w:val="28"/>
          <w:lang w:eastAsia="en-US"/>
        </w:rPr>
      </w:pPr>
      <w:r w:rsidRPr="00D56BEF">
        <w:rPr>
          <w:rFonts w:cs="Calibri"/>
          <w:b/>
          <w:sz w:val="28"/>
          <w:lang w:eastAsia="en-US"/>
        </w:rPr>
        <w:tab/>
      </w:r>
    </w:p>
    <w:tbl>
      <w:tblPr>
        <w:tblW w:w="142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4"/>
        <w:gridCol w:w="2779"/>
        <w:gridCol w:w="951"/>
        <w:gridCol w:w="2489"/>
        <w:gridCol w:w="2489"/>
        <w:gridCol w:w="2489"/>
        <w:gridCol w:w="2489"/>
      </w:tblGrid>
      <w:tr w:rsidR="009C174E" w:rsidRPr="00D56BEF" w:rsidTr="00B4675F">
        <w:trPr>
          <w:trHeight w:val="788"/>
          <w:tblHeader/>
        </w:trPr>
        <w:tc>
          <w:tcPr>
            <w:tcW w:w="211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972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332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871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 xml:space="preserve">Quarter </w:t>
            </w:r>
            <w:r>
              <w:rPr>
                <w:rFonts w:cs="Calibri"/>
                <w:b/>
                <w:color w:val="FFFFFF"/>
                <w:szCs w:val="24"/>
              </w:rPr>
              <w:t>Three</w:t>
            </w:r>
          </w:p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6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871" w:type="pct"/>
            <w:shd w:val="clear" w:color="auto" w:fill="55379B"/>
          </w:tcPr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 xml:space="preserve">Performance </w:t>
            </w:r>
          </w:p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January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871" w:type="pct"/>
            <w:shd w:val="clear" w:color="auto" w:fill="55379B"/>
          </w:tcPr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 xml:space="preserve">Performance </w:t>
            </w:r>
          </w:p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color w:val="FFFFFF"/>
                <w:szCs w:val="24"/>
              </w:rPr>
              <w:t>February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871" w:type="pct"/>
            <w:shd w:val="clear" w:color="auto" w:fill="55379B"/>
            <w:vAlign w:val="center"/>
          </w:tcPr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9C174E" w:rsidRPr="005B1884" w:rsidTr="00B4675F">
        <w:tc>
          <w:tcPr>
            <w:tcW w:w="211" w:type="pct"/>
            <w:shd w:val="clear" w:color="auto" w:fill="auto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C174E" w:rsidRPr="00457EA1" w:rsidRDefault="009C174E" w:rsidP="00B4675F">
            <w:pPr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>% payroll errors attributable to the Partnership.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&lt;0.4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C174E" w:rsidRPr="00760571" w:rsidRDefault="009C174E" w:rsidP="00B4675F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871" w:type="pct"/>
            <w:vAlign w:val="center"/>
          </w:tcPr>
          <w:p w:rsidR="009C174E" w:rsidRPr="00760571" w:rsidRDefault="009C174E" w:rsidP="00B4675F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0.05</w:t>
            </w:r>
          </w:p>
        </w:tc>
        <w:tc>
          <w:tcPr>
            <w:tcW w:w="871" w:type="pct"/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0.09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0.1</w:t>
            </w:r>
          </w:p>
        </w:tc>
      </w:tr>
      <w:tr w:rsidR="009C174E" w:rsidRPr="005B1884" w:rsidTr="00B4675F">
        <w:tc>
          <w:tcPr>
            <w:tcW w:w="211" w:type="pct"/>
            <w:shd w:val="clear" w:color="auto" w:fill="auto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760571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C174E" w:rsidRPr="00457EA1" w:rsidRDefault="009C174E" w:rsidP="00B4675F">
            <w:pPr>
              <w:tabs>
                <w:tab w:val="left" w:pos="624"/>
                <w:tab w:val="center" w:pos="851"/>
                <w:tab w:val="right" w:pos="9923"/>
              </w:tabs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 xml:space="preserve">% of changes </w:t>
            </w:r>
            <w:r>
              <w:rPr>
                <w:rFonts w:cs="Arial"/>
                <w:sz w:val="22"/>
                <w:szCs w:val="22"/>
              </w:rPr>
              <w:t>and associated adjustments including arrears processed that were received by the published payroll deadline.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99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C174E" w:rsidRPr="00760571" w:rsidRDefault="009C174E" w:rsidP="00B4675F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71" w:type="pct"/>
            <w:vAlign w:val="center"/>
          </w:tcPr>
          <w:p w:rsidR="009C174E" w:rsidRPr="00760571" w:rsidRDefault="009C174E" w:rsidP="00B4675F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71" w:type="pct"/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9134CC" w:rsidRDefault="009C174E" w:rsidP="009C174E">
      <w:pPr>
        <w:spacing w:line="276" w:lineRule="auto"/>
        <w:rPr>
          <w:rFonts w:cs="Calibri"/>
          <w:b/>
          <w:szCs w:val="24"/>
          <w:lang w:eastAsia="en-US"/>
        </w:rPr>
      </w:pPr>
      <w:bookmarkStart w:id="2" w:name="_Toc313623143"/>
      <w:bookmarkStart w:id="3" w:name="_Toc313623168"/>
      <w:bookmarkStart w:id="4" w:name="_Toc313623211"/>
      <w:bookmarkStart w:id="5" w:name="_Toc328725110"/>
      <w:bookmarkStart w:id="6" w:name="_Toc328727192"/>
      <w:r w:rsidRPr="005B1884">
        <w:rPr>
          <w:rFonts w:cs="Calibri"/>
          <w:b/>
          <w:sz w:val="16"/>
          <w:szCs w:val="16"/>
        </w:rPr>
        <w:br/>
      </w:r>
      <w:bookmarkEnd w:id="2"/>
      <w:bookmarkEnd w:id="3"/>
      <w:bookmarkEnd w:id="4"/>
      <w:bookmarkEnd w:id="5"/>
      <w:bookmarkEnd w:id="6"/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134CC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</w:p>
    <w:p w:rsidR="009C174E" w:rsidRDefault="009134CC" w:rsidP="009C174E">
      <w:pPr>
        <w:spacing w:line="276" w:lineRule="auto"/>
        <w:rPr>
          <w:rFonts w:cs="Calibri"/>
          <w:b/>
          <w:szCs w:val="24"/>
          <w:lang w:eastAsia="en-US"/>
        </w:rPr>
      </w:pPr>
      <w:r>
        <w:rPr>
          <w:rFonts w:cs="Calibri"/>
          <w:b/>
          <w:szCs w:val="24"/>
          <w:lang w:eastAsia="en-US"/>
        </w:rPr>
        <w:t>N</w:t>
      </w:r>
      <w:r w:rsidR="009C174E" w:rsidRPr="00CF3A2A">
        <w:rPr>
          <w:rFonts w:cs="Calibri"/>
          <w:b/>
          <w:szCs w:val="24"/>
          <w:lang w:eastAsia="en-US"/>
        </w:rPr>
        <w:t>on-Contractual Targets:</w:t>
      </w:r>
    </w:p>
    <w:p w:rsidR="009C174E" w:rsidRPr="00CF3A2A" w:rsidRDefault="009C174E" w:rsidP="009C174E">
      <w:pPr>
        <w:spacing w:line="276" w:lineRule="auto"/>
        <w:rPr>
          <w:rFonts w:cs="Calibri"/>
          <w:b/>
          <w:szCs w:val="24"/>
        </w:rPr>
      </w:pPr>
      <w:bookmarkStart w:id="7" w:name="_GoBack"/>
      <w:bookmarkEnd w:id="7"/>
    </w:p>
    <w:tbl>
      <w:tblPr>
        <w:tblW w:w="142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4"/>
        <w:gridCol w:w="2830"/>
        <w:gridCol w:w="953"/>
        <w:gridCol w:w="2475"/>
        <w:gridCol w:w="2475"/>
        <w:gridCol w:w="2475"/>
        <w:gridCol w:w="2478"/>
      </w:tblGrid>
      <w:tr w:rsidR="009C174E" w:rsidRPr="005B1884" w:rsidTr="00B4675F">
        <w:trPr>
          <w:trHeight w:val="868"/>
          <w:tblHeader/>
        </w:trPr>
        <w:tc>
          <w:tcPr>
            <w:tcW w:w="211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990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333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866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 xml:space="preserve">Quarter </w:t>
            </w:r>
            <w:r>
              <w:rPr>
                <w:rFonts w:cs="Calibri"/>
                <w:b/>
                <w:color w:val="FFFFFF"/>
                <w:szCs w:val="24"/>
              </w:rPr>
              <w:t>Three</w:t>
            </w:r>
          </w:p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</w:t>
            </w:r>
            <w:r>
              <w:rPr>
                <w:rFonts w:cs="Calibri"/>
                <w:b/>
                <w:color w:val="FFFFFF"/>
                <w:szCs w:val="24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</w:rPr>
              <w:t>/201</w:t>
            </w:r>
            <w:r>
              <w:rPr>
                <w:rFonts w:cs="Calibri"/>
                <w:b/>
                <w:color w:val="FFFFFF"/>
                <w:szCs w:val="24"/>
              </w:rPr>
              <w:t>6</w:t>
            </w:r>
            <w:r w:rsidRPr="00760571">
              <w:rPr>
                <w:rFonts w:cs="Calibri"/>
                <w:b/>
                <w:color w:val="FFFFFF"/>
                <w:szCs w:val="24"/>
              </w:rPr>
              <w:t xml:space="preserve"> 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866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color w:val="FFFFFF"/>
                <w:szCs w:val="24"/>
                <w:lang w:eastAsia="en-US"/>
              </w:rPr>
              <w:t>January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866" w:type="pct"/>
            <w:shd w:val="clear" w:color="auto" w:fill="55379B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color w:val="FFFFFF"/>
                <w:szCs w:val="24"/>
                <w:lang w:eastAsia="en-US"/>
              </w:rPr>
              <w:t>February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867" w:type="pct"/>
            <w:shd w:val="clear" w:color="auto" w:fill="55379B"/>
            <w:vAlign w:val="center"/>
          </w:tcPr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6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9C174E" w:rsidRPr="00D56BEF" w:rsidTr="00B4675F">
        <w:trPr>
          <w:trHeight w:val="284"/>
        </w:trPr>
        <w:tc>
          <w:tcPr>
            <w:tcW w:w="211" w:type="pct"/>
            <w:shd w:val="clear" w:color="auto" w:fill="auto"/>
            <w:vAlign w:val="center"/>
          </w:tcPr>
          <w:p w:rsidR="009C174E" w:rsidRPr="00760571" w:rsidRDefault="009C174E" w:rsidP="00B4675F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C174E" w:rsidRDefault="009C174E" w:rsidP="00B4675F">
            <w:pPr>
              <w:rPr>
                <w:rFonts w:eastAsia="Arial" w:cs="Arial"/>
                <w:sz w:val="22"/>
                <w:szCs w:val="22"/>
              </w:rPr>
            </w:pPr>
            <w:r w:rsidRPr="00457EA1">
              <w:rPr>
                <w:rFonts w:eastAsia="Arial" w:cs="Arial"/>
                <w:sz w:val="22"/>
                <w:szCs w:val="22"/>
              </w:rPr>
              <w:t>% DBS checks processed within two working days of receipt of all necessary information.</w:t>
            </w:r>
          </w:p>
          <w:p w:rsidR="009C174E" w:rsidRPr="00457EA1" w:rsidRDefault="009C174E" w:rsidP="00B4675F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75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C174E" w:rsidRPr="00760571" w:rsidRDefault="009C174E" w:rsidP="00B4675F">
            <w:pPr>
              <w:ind w:left="5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66" w:type="pct"/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7" w:type="pct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9C174E" w:rsidRDefault="009C174E" w:rsidP="009C174E">
      <w:pPr>
        <w:pStyle w:val="ListParagraph"/>
        <w:spacing w:after="0"/>
        <w:ind w:left="-142"/>
        <w:contextualSpacing w:val="0"/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</w:p>
    <w:p w:rsidR="009C174E" w:rsidRDefault="009C174E" w:rsidP="009C174E">
      <w:pPr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lastRenderedPageBreak/>
        <w:t>P</w:t>
      </w:r>
      <w:r w:rsidRPr="00FA727E">
        <w:rPr>
          <w:b/>
          <w:szCs w:val="24"/>
        </w:rPr>
        <w:t>ayroll &amp; Recruitment Services Dashboard</w:t>
      </w:r>
    </w:p>
    <w:p w:rsidR="009C174E" w:rsidRPr="00FA727E" w:rsidRDefault="009C174E" w:rsidP="009C174E">
      <w:pPr>
        <w:rPr>
          <w:szCs w:val="24"/>
        </w:rPr>
      </w:pPr>
    </w:p>
    <w:p w:rsidR="009C174E" w:rsidRPr="003333FB" w:rsidRDefault="009C174E" w:rsidP="009C174E">
      <w:pPr>
        <w:pStyle w:val="ListParagraph"/>
        <w:spacing w:after="0"/>
        <w:ind w:left="-142"/>
        <w:contextualSpacing w:val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7"/>
        <w:tblOverlap w:val="never"/>
        <w:tblW w:w="15729" w:type="dxa"/>
        <w:tblLayout w:type="fixed"/>
        <w:tblLook w:val="0000" w:firstRow="0" w:lastRow="0" w:firstColumn="0" w:lastColumn="0" w:noHBand="0" w:noVBand="0"/>
      </w:tblPr>
      <w:tblGrid>
        <w:gridCol w:w="3945"/>
        <w:gridCol w:w="1319"/>
        <w:gridCol w:w="2616"/>
        <w:gridCol w:w="2616"/>
        <w:gridCol w:w="2616"/>
        <w:gridCol w:w="2617"/>
      </w:tblGrid>
      <w:tr w:rsidR="009C174E" w:rsidRPr="00697331" w:rsidTr="00B4675F">
        <w:trPr>
          <w:trHeight w:val="1407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FA727E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Activity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Target</w:t>
            </w:r>
          </w:p>
          <w:p w:rsidR="009C174E" w:rsidRPr="00FA727E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</w:p>
          <w:p w:rsidR="009C174E" w:rsidRPr="00FA727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Performance</w:t>
            </w:r>
          </w:p>
          <w:p w:rsidR="009C174E" w:rsidRPr="00FA727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 xml:space="preserve">Quarter </w:t>
            </w:r>
            <w:r>
              <w:rPr>
                <w:rFonts w:cs="Calibri"/>
                <w:b/>
                <w:color w:val="FFFFFF" w:themeColor="background1"/>
                <w:szCs w:val="24"/>
              </w:rPr>
              <w:t>Three</w:t>
            </w:r>
          </w:p>
          <w:p w:rsidR="009C174E" w:rsidRDefault="009C174E" w:rsidP="00B4675F">
            <w:pPr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201</w:t>
            </w:r>
            <w:r>
              <w:rPr>
                <w:rFonts w:cs="Calibri"/>
                <w:b/>
                <w:color w:val="FFFFFF" w:themeColor="background1"/>
                <w:szCs w:val="24"/>
              </w:rPr>
              <w:t>5</w:t>
            </w:r>
            <w:r w:rsidRPr="00FA727E">
              <w:rPr>
                <w:rFonts w:cs="Calibri"/>
                <w:b/>
                <w:color w:val="FFFFFF" w:themeColor="background1"/>
                <w:szCs w:val="24"/>
              </w:rPr>
              <w:t>/201</w:t>
            </w:r>
            <w:r>
              <w:rPr>
                <w:rFonts w:cs="Calibri"/>
                <w:b/>
                <w:color w:val="FFFFFF" w:themeColor="background1"/>
                <w:szCs w:val="24"/>
              </w:rPr>
              <w:t>6</w:t>
            </w:r>
          </w:p>
          <w:p w:rsidR="009C174E" w:rsidRPr="00FA727E" w:rsidRDefault="009C174E" w:rsidP="00B4675F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FA727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Performance</w:t>
            </w:r>
          </w:p>
          <w:p w:rsidR="009C174E" w:rsidRPr="00FA727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January</w:t>
            </w:r>
          </w:p>
          <w:p w:rsidR="009C174E" w:rsidRPr="003333FB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  <w:lang w:eastAsia="en-US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5</w:t>
            </w: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 xml:space="preserve">6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FA727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Performance</w:t>
            </w:r>
          </w:p>
          <w:p w:rsidR="009C174E" w:rsidRPr="00FA727E" w:rsidRDefault="009C174E" w:rsidP="00B4675F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February</w:t>
            </w:r>
          </w:p>
          <w:p w:rsidR="009C174E" w:rsidRPr="00760571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201</w:t>
            </w: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5</w:t>
            </w: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:rsidR="009C174E" w:rsidRPr="003333FB" w:rsidRDefault="009C174E" w:rsidP="00B4675F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5</w:t>
            </w: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/201</w:t>
            </w: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 xml:space="preserve">6   </w:t>
            </w:r>
          </w:p>
        </w:tc>
      </w:tr>
      <w:tr w:rsidR="009C174E" w:rsidRPr="00697331" w:rsidTr="00B4675F">
        <w:trPr>
          <w:trHeight w:val="45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 xml:space="preserve">Volume of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BTLS </w:t>
            </w:r>
            <w:r w:rsidRPr="00206F9C">
              <w:rPr>
                <w:rFonts w:cs="Arial"/>
                <w:color w:val="000000"/>
                <w:sz w:val="22"/>
                <w:szCs w:val="22"/>
              </w:rPr>
              <w:t>overpayments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125</w:t>
            </w:r>
          </w:p>
        </w:tc>
      </w:tr>
      <w:tr w:rsidR="009C174E" w:rsidRPr="00697331" w:rsidTr="00B4675F">
        <w:trPr>
          <w:trHeight w:val="45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% of DBS forms returned to Recruitment Services from Liverpool DBS with errors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Not greater than 3%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1.1%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1.8%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1.7%</w:t>
            </w:r>
          </w:p>
        </w:tc>
      </w:tr>
      <w:tr w:rsidR="009C174E" w:rsidRPr="00697331" w:rsidTr="00B4675F">
        <w:trPr>
          <w:trHeight w:val="1203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Employment offer documentation (conditional) issued within 48 hours, following receipt of the necessary approvals to recruit 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9C174E" w:rsidRPr="00697331" w:rsidTr="00B4675F">
        <w:trPr>
          <w:trHeight w:val="113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>% of DBS forms returned to Managers (Directorates) with errors/missing information within 48 hours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9C174E" w:rsidRPr="00697331" w:rsidTr="00B4675F">
        <w:trPr>
          <w:trHeight w:val="722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Change Letters - issued within 10 working days from system change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99.7%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99.8%</w:t>
            </w:r>
          </w:p>
        </w:tc>
      </w:tr>
      <w:tr w:rsidR="009C174E" w:rsidRPr="00697331" w:rsidTr="00B4675F">
        <w:trPr>
          <w:trHeight w:val="1203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% of nationally and locally agreed pay awards implemented no later than the month following the month in which the award was authorised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206F9C" w:rsidRDefault="009C174E" w:rsidP="00B4675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4E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E" w:rsidRPr="00760571" w:rsidRDefault="009C174E" w:rsidP="00B4675F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</w:tbl>
    <w:p w:rsidR="009C174E" w:rsidRDefault="009C174E" w:rsidP="009C174E">
      <w:pPr>
        <w:tabs>
          <w:tab w:val="left" w:pos="7770"/>
        </w:tabs>
        <w:rPr>
          <w:b/>
          <w:szCs w:val="24"/>
        </w:rPr>
      </w:pPr>
      <w:r>
        <w:rPr>
          <w:b/>
          <w:szCs w:val="24"/>
        </w:rPr>
        <w:tab/>
      </w:r>
    </w:p>
    <w:p w:rsidR="009C174E" w:rsidRDefault="009C174E" w:rsidP="009C174E">
      <w:pPr>
        <w:rPr>
          <w:szCs w:val="24"/>
        </w:rPr>
      </w:pPr>
    </w:p>
    <w:bookmarkEnd w:id="0"/>
    <w:p w:rsidR="009C174E" w:rsidRDefault="009C174E" w:rsidP="009C174E">
      <w:pPr>
        <w:rPr>
          <w:b/>
          <w:szCs w:val="24"/>
        </w:rPr>
      </w:pPr>
    </w:p>
    <w:p w:rsidR="00EC02A0" w:rsidRDefault="00EC02A0"/>
    <w:sectPr w:rsidR="00EC02A0" w:rsidSect="00896D52">
      <w:pgSz w:w="16840" w:h="11907" w:orient="landscape" w:code="9"/>
      <w:pgMar w:top="567" w:right="1134" w:bottom="0" w:left="1440" w:header="720" w:footer="30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464"/>
    <w:multiLevelType w:val="hybridMultilevel"/>
    <w:tmpl w:val="5514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7CA"/>
    <w:multiLevelType w:val="hybridMultilevel"/>
    <w:tmpl w:val="8F0A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E"/>
    <w:rsid w:val="005F37FE"/>
    <w:rsid w:val="009134CC"/>
    <w:rsid w:val="009C174E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3F471-3DB4-4A99-A36D-050B0569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ListParagraph">
    <w:name w:val="List Paragraph"/>
    <w:aliases w:val="Picture"/>
    <w:basedOn w:val="Normal"/>
    <w:link w:val="ListParagraphChar"/>
    <w:uiPriority w:val="34"/>
    <w:unhideWhenUsed/>
    <w:qFormat/>
    <w:rsid w:val="009C174E"/>
    <w:pPr>
      <w:autoSpaceDE w:val="0"/>
      <w:autoSpaceDN w:val="0"/>
      <w:adjustRightInd w:val="0"/>
      <w:spacing w:after="120"/>
      <w:ind w:left="720"/>
      <w:contextualSpacing/>
      <w:jc w:val="both"/>
    </w:pPr>
    <w:rPr>
      <w:rFonts w:eastAsia="Calibri" w:cs="Helvetica-Light"/>
      <w:color w:val="000000"/>
      <w:szCs w:val="24"/>
      <w:lang w:eastAsia="en-US"/>
    </w:rPr>
  </w:style>
  <w:style w:type="character" w:customStyle="1" w:styleId="ListParagraphChar">
    <w:name w:val="List Paragraph Char"/>
    <w:aliases w:val="Picture Char"/>
    <w:link w:val="ListParagraph"/>
    <w:uiPriority w:val="34"/>
    <w:locked/>
    <w:rsid w:val="009C174E"/>
    <w:rPr>
      <w:rFonts w:ascii="Arial" w:eastAsia="Calibri" w:hAnsi="Arial" w:cs="Helvetica-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Jane</dc:creator>
  <cp:keywords/>
  <dc:description/>
  <cp:lastModifiedBy>Johnson, Jane</cp:lastModifiedBy>
  <cp:revision>2</cp:revision>
  <dcterms:created xsi:type="dcterms:W3CDTF">2016-04-04T10:36:00Z</dcterms:created>
  <dcterms:modified xsi:type="dcterms:W3CDTF">2016-04-04T13:32:00Z</dcterms:modified>
</cp:coreProperties>
</file>